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АДМИНИСТРАЦИЯ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</w:t>
      </w:r>
      <w:r>
        <w:rPr>
          <w:rFonts w:ascii="Arial" w:hAnsi="Arial" w:cs="Arial"/>
          <w:color w:val="252525"/>
        </w:rPr>
        <w:br/>
        <w:t>КУРСКОЙ ОБЛАСТИ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ПОСТАНОВЛЕНИЕ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от 17 августа 2021 года № 31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Об утверждении Порядка формирования перечня налоговых расходов и оценки налоговых расходов муниципального</w:t>
      </w:r>
      <w:r>
        <w:rPr>
          <w:rFonts w:ascii="Arial" w:hAnsi="Arial" w:cs="Arial"/>
          <w:color w:val="252525"/>
        </w:rPr>
        <w:br/>
        <w:t>образования «Мансуровский сельсовет» 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 соответствии со статьей 174.3 Бюджетного кодекса Российской Федерации, Администрация Мансуровского сельсовета Советского района ПОСТАНОВЛЯЕТ: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 Утвердить Порядок формирования перечня налоговых расходов и оценки налоговых расходов муниципального образования «Мансуровский сельсовет» Советского района.</w:t>
      </w:r>
      <w:r>
        <w:rPr>
          <w:rFonts w:ascii="Arial" w:hAnsi="Arial" w:cs="Arial"/>
          <w:color w:val="252525"/>
        </w:rPr>
        <w:br/>
        <w:t>2. Постановление вступает в силу со дня его официального обнародования и распространяется на бюджетные правоотношения, возникающие с 1 января 2021 года.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Глава Мансуровского сельсовета</w:t>
      </w:r>
      <w:r>
        <w:rPr>
          <w:rFonts w:ascii="Arial" w:hAnsi="Arial" w:cs="Arial"/>
          <w:color w:val="252525"/>
        </w:rPr>
        <w:br/>
        <w:t>Советского района А.А.Анненков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>Утвержден</w:t>
      </w:r>
      <w:r>
        <w:rPr>
          <w:rFonts w:ascii="Arial" w:hAnsi="Arial" w:cs="Arial"/>
          <w:color w:val="252525"/>
        </w:rPr>
        <w:br/>
        <w:t>постановлением администрации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</w:t>
      </w:r>
      <w:r>
        <w:rPr>
          <w:rFonts w:ascii="Arial" w:hAnsi="Arial" w:cs="Arial"/>
          <w:color w:val="252525"/>
        </w:rPr>
        <w:br/>
        <w:t>от 17.08.2021 г. № 31</w:t>
      </w:r>
      <w:r>
        <w:rPr>
          <w:rFonts w:ascii="Arial" w:hAnsi="Arial" w:cs="Arial"/>
          <w:color w:val="252525"/>
        </w:rPr>
        <w:br/>
        <w:t>Порядок</w:t>
      </w:r>
      <w:r>
        <w:rPr>
          <w:rFonts w:ascii="Arial" w:hAnsi="Arial" w:cs="Arial"/>
          <w:color w:val="252525"/>
        </w:rPr>
        <w:br/>
        <w:t>формирования перечня налоговых расходов и оценки налоговых расходов муниципального образования «Мансуровский сельсовет» 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I. Общие положения</w:t>
      </w:r>
      <w:r>
        <w:rPr>
          <w:rFonts w:ascii="Arial" w:hAnsi="Arial" w:cs="Arial"/>
          <w:color w:val="252525"/>
        </w:rPr>
        <w:br/>
        <w:t>1. 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«Мансуровский сельсовет» Советского района.</w:t>
      </w:r>
      <w:r>
        <w:rPr>
          <w:rFonts w:ascii="Arial" w:hAnsi="Arial" w:cs="Arial"/>
          <w:color w:val="252525"/>
        </w:rPr>
        <w:br/>
        <w:t xml:space="preserve"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</w:t>
      </w:r>
      <w:r>
        <w:rPr>
          <w:rFonts w:ascii="Arial" w:hAnsi="Arial" w:cs="Arial"/>
          <w:color w:val="252525"/>
        </w:rPr>
        <w:lastRenderedPageBreak/>
        <w:t>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r>
        <w:rPr>
          <w:rFonts w:ascii="Arial" w:hAnsi="Arial" w:cs="Arial"/>
          <w:color w:val="252525"/>
        </w:rPr>
        <w:br/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  <w:r>
        <w:rPr>
          <w:rFonts w:ascii="Arial" w:hAnsi="Arial" w:cs="Arial"/>
          <w:color w:val="252525"/>
        </w:rPr>
        <w:br/>
        <w:t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r>
        <w:rPr>
          <w:rFonts w:ascii="Arial" w:hAnsi="Arial" w:cs="Arial"/>
          <w:color w:val="252525"/>
        </w:rPr>
        <w:br/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  <w:r>
        <w:rPr>
          <w:rFonts w:ascii="Arial" w:hAnsi="Arial" w:cs="Arial"/>
          <w:color w:val="252525"/>
        </w:rPr>
        <w:br/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  <w:r>
        <w:rPr>
          <w:rFonts w:ascii="Arial" w:hAnsi="Arial" w:cs="Arial"/>
          <w:color w:val="252525"/>
        </w:rPr>
        <w:br/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  <w:r>
        <w:rPr>
          <w:rFonts w:ascii="Arial" w:hAnsi="Arial" w:cs="Arial"/>
          <w:color w:val="252525"/>
        </w:rPr>
        <w:br/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  <w:r>
        <w:rPr>
          <w:rFonts w:ascii="Arial" w:hAnsi="Arial" w:cs="Arial"/>
          <w:color w:val="252525"/>
        </w:rPr>
        <w:br/>
        <w:t>9. Нормативные характеристики налоговых расходов муниципального образования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приложению.</w:t>
      </w:r>
      <w:r>
        <w:rPr>
          <w:rFonts w:ascii="Arial" w:hAnsi="Arial" w:cs="Arial"/>
          <w:color w:val="252525"/>
        </w:rPr>
        <w:br/>
        <w:t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приложением к настоящему Порядку.</w:t>
      </w:r>
      <w:r>
        <w:rPr>
          <w:rFonts w:ascii="Arial" w:hAnsi="Arial" w:cs="Arial"/>
          <w:color w:val="252525"/>
        </w:rPr>
        <w:br/>
        <w:t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настоящему Порядку.</w:t>
      </w:r>
      <w:r>
        <w:rPr>
          <w:rFonts w:ascii="Arial" w:hAnsi="Arial" w:cs="Arial"/>
          <w:color w:val="252525"/>
        </w:rPr>
        <w:br/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  <w:r>
        <w:rPr>
          <w:rFonts w:ascii="Arial" w:hAnsi="Arial" w:cs="Arial"/>
          <w:color w:val="252525"/>
        </w:rPr>
        <w:br/>
        <w:t xml:space="preserve">13. Оценка объемов налоговых расходов муниципального образования - </w:t>
      </w:r>
      <w:r>
        <w:rPr>
          <w:rFonts w:ascii="Arial" w:hAnsi="Arial" w:cs="Arial"/>
          <w:color w:val="252525"/>
        </w:rPr>
        <w:lastRenderedPageBreak/>
        <w:t>определение объемов выпадающих доходов бюджетов муниципального образования, обусловленных льготами, предоставленными плательщикам.</w:t>
      </w:r>
      <w:r>
        <w:rPr>
          <w:rFonts w:ascii="Arial" w:hAnsi="Arial" w:cs="Arial"/>
          <w:color w:val="252525"/>
        </w:rPr>
        <w:br/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  <w:r>
        <w:rPr>
          <w:rFonts w:ascii="Arial" w:hAnsi="Arial" w:cs="Arial"/>
          <w:color w:val="252525"/>
        </w:rPr>
        <w:br/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  <w:r>
        <w:rPr>
          <w:rFonts w:ascii="Arial" w:hAnsi="Arial" w:cs="Arial"/>
          <w:color w:val="252525"/>
        </w:rPr>
        <w:br/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  <w:r>
        <w:rPr>
          <w:rFonts w:ascii="Arial" w:hAnsi="Arial" w:cs="Arial"/>
          <w:color w:val="252525"/>
        </w:rPr>
        <w:br/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  <w:r>
        <w:rPr>
          <w:rFonts w:ascii="Arial" w:hAnsi="Arial" w:cs="Arial"/>
          <w:color w:val="252525"/>
        </w:rPr>
        <w:br/>
        <w:t>18. В целях оценки налоговых расходов муниципального образования бухгалтерией администрации Мансуровского сельсовета (далее – бухгалтерия):</w:t>
      </w:r>
      <w:r>
        <w:rPr>
          <w:rFonts w:ascii="Arial" w:hAnsi="Arial" w:cs="Arial"/>
          <w:color w:val="252525"/>
        </w:rPr>
        <w:br/>
        <w:t>а) формирует перечень налоговых расходов муниципального образования;</w:t>
      </w:r>
      <w:r>
        <w:rPr>
          <w:rFonts w:ascii="Arial" w:hAnsi="Arial" w:cs="Arial"/>
          <w:color w:val="252525"/>
        </w:rPr>
        <w:br/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  <w:r>
        <w:rPr>
          <w:rFonts w:ascii="Arial" w:hAnsi="Arial" w:cs="Arial"/>
          <w:color w:val="252525"/>
        </w:rPr>
        <w:br/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  <w:r>
        <w:rPr>
          <w:rFonts w:ascii="Arial" w:hAnsi="Arial" w:cs="Arial"/>
          <w:color w:val="252525"/>
        </w:rPr>
        <w:br/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  <w:r>
        <w:rPr>
          <w:rFonts w:ascii="Arial" w:hAnsi="Arial" w:cs="Arial"/>
          <w:color w:val="252525"/>
        </w:rPr>
        <w:br/>
        <w:t>20. В целях оценки налоговых расходов муниципального образования кураторы налоговых расходов:</w:t>
      </w:r>
      <w:r>
        <w:rPr>
          <w:rFonts w:ascii="Arial" w:hAnsi="Arial" w:cs="Arial"/>
          <w:color w:val="252525"/>
        </w:rPr>
        <w:br/>
        <w:t>а) формируют информацию о нормативных, целевых и фискальных характеристиках налоговых расходов муниципального образования, предусмотренную приложением к настоящему Порядку;</w:t>
      </w:r>
      <w:r>
        <w:rPr>
          <w:rFonts w:ascii="Arial" w:hAnsi="Arial" w:cs="Arial"/>
          <w:color w:val="252525"/>
        </w:rPr>
        <w:br/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II. Формирование перечня налоговых расходов</w:t>
      </w:r>
      <w:r>
        <w:rPr>
          <w:rFonts w:ascii="Arial" w:hAnsi="Arial" w:cs="Arial"/>
          <w:color w:val="252525"/>
        </w:rPr>
        <w:br/>
        <w:t>муниципального образования «Мансуровский сельсовет» 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21. Проект перечня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</w:t>
      </w:r>
      <w:r>
        <w:rPr>
          <w:rFonts w:ascii="Arial" w:hAnsi="Arial" w:cs="Arial"/>
          <w:color w:val="252525"/>
        </w:rPr>
        <w:lastRenderedPageBreak/>
        <w:t>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  <w:r>
        <w:rPr>
          <w:rFonts w:ascii="Arial" w:hAnsi="Arial" w:cs="Arial"/>
          <w:color w:val="252525"/>
        </w:rPr>
        <w:br/>
        <w:t>22. Органы и организации, указанные в пункте 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 несогласия с указанным распределением направляют в финансовый отдел предложения по уточнению проекта перечня налоговых расходов.</w:t>
      </w:r>
      <w:r>
        <w:rPr>
          <w:rFonts w:ascii="Arial" w:hAnsi="Arial" w:cs="Arial"/>
          <w:color w:val="252525"/>
        </w:rPr>
        <w:br/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  <w:r>
        <w:rPr>
          <w:rFonts w:ascii="Arial" w:hAnsi="Arial" w:cs="Arial"/>
          <w:color w:val="252525"/>
        </w:rPr>
        <w:br/>
        <w:t>В случае если результаты рассмотрения не направлены в финансовый отдел в течение срока, указанного в абзаце первом настоящего пункта, проект перечня налоговых расходов считается согласованным.</w:t>
      </w:r>
      <w:r>
        <w:rPr>
          <w:rFonts w:ascii="Arial" w:hAnsi="Arial" w:cs="Arial"/>
          <w:color w:val="252525"/>
        </w:rPr>
        <w:br/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  <w:r>
        <w:rPr>
          <w:rFonts w:ascii="Arial" w:hAnsi="Arial" w:cs="Arial"/>
          <w:color w:val="252525"/>
        </w:rPr>
        <w:br/>
        <w:t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  <w:r>
        <w:rPr>
          <w:rFonts w:ascii="Arial" w:hAnsi="Arial" w:cs="Arial"/>
          <w:color w:val="252525"/>
        </w:rPr>
        <w:br/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  <w:r>
        <w:rPr>
          <w:rFonts w:ascii="Arial" w:hAnsi="Arial" w:cs="Arial"/>
          <w:color w:val="252525"/>
        </w:rPr>
        <w:br/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Мансуровского сельсовета в информационно-телекоммуникационной сети «Интернет».</w:t>
      </w:r>
      <w:r>
        <w:rPr>
          <w:rFonts w:ascii="Arial" w:hAnsi="Arial" w:cs="Arial"/>
          <w:color w:val="252525"/>
        </w:rPr>
        <w:br/>
        <w:t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пункте 21 настоящего Порядка, в связи,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III. Порядок оценки налоговых расходов муниципального образования «Мансуровский сельсовет» 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  <w:r>
        <w:rPr>
          <w:rFonts w:ascii="Arial" w:hAnsi="Arial" w:cs="Arial"/>
          <w:color w:val="252525"/>
        </w:rPr>
        <w:br/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  <w:r>
        <w:rPr>
          <w:rFonts w:ascii="Arial" w:hAnsi="Arial" w:cs="Arial"/>
          <w:color w:val="252525"/>
        </w:rPr>
        <w:br/>
        <w:t>а) оценку целесообразности налоговых расходов муниципального образования;</w:t>
      </w:r>
      <w:r>
        <w:rPr>
          <w:rFonts w:ascii="Arial" w:hAnsi="Arial" w:cs="Arial"/>
          <w:color w:val="252525"/>
        </w:rPr>
        <w:br/>
        <w:t>б) оценку результативности налоговых расходов муниципального образования.</w:t>
      </w:r>
      <w:r>
        <w:rPr>
          <w:rFonts w:ascii="Arial" w:hAnsi="Arial" w:cs="Arial"/>
          <w:color w:val="252525"/>
        </w:rPr>
        <w:br/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налогового органа.</w:t>
      </w:r>
      <w:r>
        <w:rPr>
          <w:rFonts w:ascii="Arial" w:hAnsi="Arial" w:cs="Arial"/>
          <w:color w:val="252525"/>
        </w:rPr>
        <w:br/>
        <w:t>28. Критериями целесообразности налоговых расходов муниципального образования являются:</w:t>
      </w:r>
      <w:r>
        <w:rPr>
          <w:rFonts w:ascii="Arial" w:hAnsi="Arial" w:cs="Arial"/>
          <w:color w:val="252525"/>
        </w:rPr>
        <w:br/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  <w:r>
        <w:rPr>
          <w:rFonts w:ascii="Arial" w:hAnsi="Arial" w:cs="Arial"/>
          <w:color w:val="252525"/>
        </w:rPr>
        <w:br/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  <w:r>
        <w:rPr>
          <w:rFonts w:ascii="Arial" w:hAnsi="Arial" w:cs="Arial"/>
          <w:color w:val="252525"/>
        </w:rPr>
        <w:br/>
        <w:t>29. В случае несоответствия налоговых расходов муниципального образования хотя бы одному из критериев, указанных в пункте 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  <w:r>
        <w:rPr>
          <w:rFonts w:ascii="Arial" w:hAnsi="Arial" w:cs="Arial"/>
          <w:color w:val="252525"/>
        </w:rPr>
        <w:br/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  <w:r>
        <w:rPr>
          <w:rFonts w:ascii="Arial" w:hAnsi="Arial" w:cs="Arial"/>
          <w:color w:val="252525"/>
        </w:rPr>
        <w:br/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  <w:r>
        <w:rPr>
          <w:rFonts w:ascii="Arial" w:hAnsi="Arial" w:cs="Arial"/>
          <w:color w:val="252525"/>
        </w:rPr>
        <w:br/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r>
        <w:rPr>
          <w:rFonts w:ascii="Arial" w:hAnsi="Arial" w:cs="Arial"/>
          <w:color w:val="252525"/>
        </w:rPr>
        <w:br/>
        <w:t xml:space="preserve">32.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</w:t>
      </w:r>
      <w:r>
        <w:rPr>
          <w:rFonts w:ascii="Arial" w:hAnsi="Arial" w:cs="Arial"/>
          <w:color w:val="252525"/>
        </w:rPr>
        <w:lastRenderedPageBreak/>
        <w:t>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  <w:r>
        <w:rPr>
          <w:rFonts w:ascii="Arial" w:hAnsi="Arial" w:cs="Arial"/>
          <w:color w:val="252525"/>
        </w:rPr>
        <w:br/>
        <w:t>33.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  <w:r>
        <w:rPr>
          <w:rFonts w:ascii="Arial" w:hAnsi="Arial" w:cs="Arial"/>
          <w:color w:val="252525"/>
        </w:rPr>
        <w:br/>
        <w:t>а) субсидии или иные формы непосредственной финансовой поддержки плательщиков, имеющих право на льготы, за счет местного бюджета;</w:t>
      </w:r>
      <w:r>
        <w:rPr>
          <w:rFonts w:ascii="Arial" w:hAnsi="Arial" w:cs="Arial"/>
          <w:color w:val="252525"/>
        </w:rPr>
        <w:br/>
        <w:t>б) предоставление муниципальных гарантий муниципального образования по обязательствам плательщиков, имеющих право на льготы;</w:t>
      </w:r>
      <w:r>
        <w:rPr>
          <w:rFonts w:ascii="Arial" w:hAnsi="Arial" w:cs="Arial"/>
          <w:color w:val="252525"/>
        </w:rPr>
        <w:br/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r>
        <w:rPr>
          <w:rFonts w:ascii="Arial" w:hAnsi="Arial" w:cs="Arial"/>
          <w:color w:val="252525"/>
        </w:rPr>
        <w:br/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  <w:r>
        <w:rPr>
          <w:rFonts w:ascii="Arial" w:hAnsi="Arial" w:cs="Arial"/>
          <w:color w:val="252525"/>
        </w:rPr>
        <w:br/>
        <w:t>- о значимости вклада налогового расхода муниципального образования в достижение соответствующих показателей (индикаторов);</w:t>
      </w:r>
      <w:r>
        <w:rPr>
          <w:rFonts w:ascii="Arial" w:hAnsi="Arial" w:cs="Arial"/>
          <w:color w:val="252525"/>
        </w:rPr>
        <w:br/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  <w:r>
        <w:rPr>
          <w:rFonts w:ascii="Arial" w:hAnsi="Arial" w:cs="Arial"/>
          <w:color w:val="252525"/>
        </w:rPr>
        <w:br/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  <w:r>
        <w:rPr>
          <w:rFonts w:ascii="Arial" w:hAnsi="Arial" w:cs="Arial"/>
          <w:color w:val="252525"/>
        </w:rPr>
        <w:br/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обобщения.</w:t>
      </w:r>
      <w:r>
        <w:rPr>
          <w:rFonts w:ascii="Arial" w:hAnsi="Arial" w:cs="Arial"/>
          <w:color w:val="252525"/>
        </w:rPr>
        <w:br/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>Приложение</w:t>
      </w:r>
      <w:r>
        <w:rPr>
          <w:rFonts w:ascii="Arial" w:hAnsi="Arial" w:cs="Arial"/>
          <w:color w:val="252525"/>
        </w:rPr>
        <w:br/>
        <w:t>к Порядку формирования</w:t>
      </w:r>
      <w:r>
        <w:rPr>
          <w:rFonts w:ascii="Arial" w:hAnsi="Arial" w:cs="Arial"/>
          <w:color w:val="252525"/>
        </w:rPr>
        <w:br/>
        <w:t>перечня налоговых расходов и оценки</w:t>
      </w:r>
      <w:r>
        <w:rPr>
          <w:rFonts w:ascii="Arial" w:hAnsi="Arial" w:cs="Arial"/>
          <w:color w:val="252525"/>
        </w:rPr>
        <w:br/>
        <w:t>налоговых расходов муниципального</w:t>
      </w:r>
      <w:r>
        <w:rPr>
          <w:rFonts w:ascii="Arial" w:hAnsi="Arial" w:cs="Arial"/>
          <w:color w:val="252525"/>
        </w:rPr>
        <w:br/>
        <w:t>образования «Мансуровский сельсовет»</w:t>
      </w:r>
      <w:r>
        <w:rPr>
          <w:rFonts w:ascii="Arial" w:hAnsi="Arial" w:cs="Arial"/>
          <w:color w:val="252525"/>
        </w:rPr>
        <w:br/>
        <w:t>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Информация о нормативных, целевых и фискальных характеристиках налоговых расходов муниципального образования «Мансуровский сельсовет»</w:t>
      </w:r>
      <w:r>
        <w:rPr>
          <w:rFonts w:ascii="Arial" w:hAnsi="Arial" w:cs="Arial"/>
          <w:color w:val="252525"/>
        </w:rPr>
        <w:br/>
        <w:t>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Предоставляемая информация</w:t>
      </w:r>
      <w:r>
        <w:rPr>
          <w:rFonts w:ascii="Arial" w:hAnsi="Arial" w:cs="Arial"/>
          <w:color w:val="252525"/>
        </w:rPr>
        <w:br/>
        <w:t>Источник данных</w:t>
      </w:r>
      <w:r>
        <w:rPr>
          <w:rFonts w:ascii="Arial" w:hAnsi="Arial" w:cs="Arial"/>
          <w:color w:val="252525"/>
        </w:rPr>
        <w:br/>
        <w:t>I.Нормативные характеристики налогового расхода муниципального образования «Мансуровский сельсовет» Советского района (далее - налоговый расход)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</w:t>
      </w:r>
      <w:r>
        <w:rPr>
          <w:rFonts w:ascii="Arial" w:hAnsi="Arial" w:cs="Arial"/>
          <w:color w:val="252525"/>
        </w:rPr>
        <w:br/>
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2.</w:t>
      </w:r>
      <w:r>
        <w:rPr>
          <w:rFonts w:ascii="Arial" w:hAnsi="Arial" w:cs="Arial"/>
          <w:color w:val="252525"/>
        </w:rPr>
        <w:br/>
        <w:t>Условия предоставления налоговых льгот, освобождений и иных преференций для плательщиков налогов, сборов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3.</w:t>
      </w:r>
      <w:r>
        <w:rPr>
          <w:rFonts w:ascii="Arial" w:hAnsi="Arial" w:cs="Arial"/>
          <w:color w:val="252525"/>
        </w:rPr>
        <w:br/>
        <w:t>Целевая категория плательщиков налогов, сборов, для которых предусмотрены налоговые льготы, освобождения и иные преференции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4.</w:t>
      </w:r>
      <w:r>
        <w:rPr>
          <w:rFonts w:ascii="Arial" w:hAnsi="Arial" w:cs="Arial"/>
          <w:color w:val="252525"/>
        </w:rPr>
        <w:br/>
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5.</w:t>
      </w:r>
      <w:r>
        <w:rPr>
          <w:rFonts w:ascii="Arial" w:hAnsi="Arial" w:cs="Arial"/>
          <w:color w:val="252525"/>
        </w:rPr>
        <w:br/>
        <w:t>Период действия налоговых льгот, освобождений и иных преференций по налогам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6.</w:t>
      </w:r>
      <w:r>
        <w:rPr>
          <w:rFonts w:ascii="Arial" w:hAnsi="Arial" w:cs="Arial"/>
          <w:color w:val="252525"/>
        </w:rPr>
        <w:br/>
        <w:t>Дата прекращения действия налоговых льгот, освобождений и иных преференций по налогам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II. Целевые характеристики налогового расхода муниципального образования «Мансуровский сельсовет» Советского района</w:t>
      </w:r>
      <w:r>
        <w:rPr>
          <w:rFonts w:ascii="Arial" w:hAnsi="Arial" w:cs="Arial"/>
          <w:color w:val="252525"/>
        </w:rPr>
        <w:br/>
        <w:t>7.</w:t>
      </w:r>
      <w:r>
        <w:rPr>
          <w:rFonts w:ascii="Arial" w:hAnsi="Arial" w:cs="Arial"/>
          <w:color w:val="252525"/>
        </w:rPr>
        <w:br/>
        <w:t>Наименование налоговых льгот, освобождений и иных преференций по налогам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8.</w:t>
      </w:r>
      <w:r>
        <w:rPr>
          <w:rFonts w:ascii="Arial" w:hAnsi="Arial" w:cs="Arial"/>
          <w:color w:val="252525"/>
        </w:rPr>
        <w:br/>
        <w:t>Целевая категория налогового расхода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9.</w:t>
      </w:r>
      <w:r>
        <w:rPr>
          <w:rFonts w:ascii="Arial" w:hAnsi="Arial" w:cs="Arial"/>
          <w:color w:val="252525"/>
        </w:rPr>
        <w:br/>
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10.</w:t>
      </w:r>
      <w:r>
        <w:rPr>
          <w:rFonts w:ascii="Arial" w:hAnsi="Arial" w:cs="Arial"/>
          <w:color w:val="252525"/>
        </w:rPr>
        <w:br/>
        <w:t>Наименования налогов, по которым предусматриваются налоговые льготы, освобождения и иные преференции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11.</w:t>
      </w:r>
      <w:r>
        <w:rPr>
          <w:rFonts w:ascii="Arial" w:hAnsi="Arial" w:cs="Arial"/>
          <w:color w:val="252525"/>
        </w:rPr>
        <w:br/>
        <w:t xml:space="preserve">Вид налоговых льгот, освобождений и иных преференций, определяющий </w:t>
      </w:r>
      <w:r>
        <w:rPr>
          <w:rFonts w:ascii="Arial" w:hAnsi="Arial" w:cs="Arial"/>
          <w:color w:val="252525"/>
        </w:rPr>
        <w:lastRenderedPageBreak/>
        <w:t>особенности предоставленных отдельным категориям плательщиков налогов преимуществ по сравнению с другими плательщиками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12.</w:t>
      </w:r>
      <w:r>
        <w:rPr>
          <w:rFonts w:ascii="Arial" w:hAnsi="Arial" w:cs="Arial"/>
          <w:color w:val="252525"/>
        </w:rPr>
        <w:br/>
        <w:t>Размер налоговой ставки, в пределах которой предоставляются налоговые льготы, освобождения и иные преференции по налогам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13.</w:t>
      </w:r>
      <w:r>
        <w:rPr>
          <w:rFonts w:ascii="Arial" w:hAnsi="Arial" w:cs="Arial"/>
          <w:color w:val="252525"/>
        </w:rPr>
        <w:br/>
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14.</w:t>
      </w:r>
      <w:r>
        <w:rPr>
          <w:rFonts w:ascii="Arial" w:hAnsi="Arial" w:cs="Arial"/>
          <w:color w:val="252525"/>
        </w:rPr>
        <w:br/>
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15.</w:t>
      </w:r>
      <w:r>
        <w:rPr>
          <w:rFonts w:ascii="Arial" w:hAnsi="Arial" w:cs="Arial"/>
          <w:color w:val="252525"/>
        </w:rPr>
        <w:br/>
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налогов, сборов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16.</w:t>
      </w:r>
      <w:r>
        <w:rPr>
          <w:rFonts w:ascii="Arial" w:hAnsi="Arial" w:cs="Arial"/>
          <w:color w:val="252525"/>
        </w:rPr>
        <w:br/>
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17.</w:t>
      </w:r>
      <w:r>
        <w:rPr>
          <w:rFonts w:ascii="Arial" w:hAnsi="Arial" w:cs="Arial"/>
          <w:color w:val="252525"/>
        </w:rPr>
        <w:br/>
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II.Фискальные характеристики налогового расхода муниципального образования «Мансуровский сельсовет» Советского района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18.</w:t>
      </w:r>
      <w:r>
        <w:rPr>
          <w:rFonts w:ascii="Arial" w:hAnsi="Arial" w:cs="Arial"/>
          <w:color w:val="252525"/>
        </w:rPr>
        <w:br/>
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</w:r>
      <w:r>
        <w:rPr>
          <w:rFonts w:ascii="Arial" w:hAnsi="Arial" w:cs="Arial"/>
          <w:color w:val="252525"/>
        </w:rPr>
        <w:br/>
        <w:t>налоговый орган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19.</w:t>
      </w:r>
      <w:r>
        <w:rPr>
          <w:rFonts w:ascii="Arial" w:hAnsi="Arial" w:cs="Arial"/>
          <w:color w:val="252525"/>
        </w:rPr>
        <w:br/>
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</w:r>
      <w:r>
        <w:rPr>
          <w:rFonts w:ascii="Arial" w:hAnsi="Arial" w:cs="Arial"/>
          <w:color w:val="252525"/>
        </w:rPr>
        <w:br/>
        <w:t>финансовый отдел</w:t>
      </w:r>
      <w:r>
        <w:rPr>
          <w:rFonts w:ascii="Arial" w:hAnsi="Arial" w:cs="Arial"/>
          <w:color w:val="252525"/>
        </w:rPr>
        <w:br/>
        <w:t>20.</w:t>
      </w:r>
      <w:r>
        <w:rPr>
          <w:rFonts w:ascii="Arial" w:hAnsi="Arial" w:cs="Arial"/>
          <w:color w:val="252525"/>
        </w:rPr>
        <w:br/>
        <w:t>Общая численность плательщиков налогов, сборов в отчетном финансовому году (единиц)</w:t>
      </w:r>
      <w:r>
        <w:rPr>
          <w:rFonts w:ascii="Arial" w:hAnsi="Arial" w:cs="Arial"/>
          <w:color w:val="252525"/>
        </w:rPr>
        <w:br/>
        <w:t>налоговый орган</w:t>
      </w:r>
      <w:r>
        <w:rPr>
          <w:rFonts w:ascii="Arial" w:hAnsi="Arial" w:cs="Arial"/>
          <w:color w:val="252525"/>
        </w:rPr>
        <w:br/>
        <w:t>21.</w:t>
      </w:r>
      <w:r>
        <w:rPr>
          <w:rFonts w:ascii="Arial" w:hAnsi="Arial" w:cs="Arial"/>
          <w:color w:val="252525"/>
        </w:rPr>
        <w:br/>
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</w:r>
      <w:r>
        <w:rPr>
          <w:rFonts w:ascii="Arial" w:hAnsi="Arial" w:cs="Arial"/>
          <w:color w:val="252525"/>
        </w:rPr>
        <w:br/>
        <w:t>налоговый орган</w:t>
      </w:r>
      <w:r>
        <w:rPr>
          <w:rFonts w:ascii="Arial" w:hAnsi="Arial" w:cs="Arial"/>
          <w:color w:val="252525"/>
        </w:rPr>
        <w:br/>
        <w:t>22.</w:t>
      </w:r>
      <w:r>
        <w:rPr>
          <w:rFonts w:ascii="Arial" w:hAnsi="Arial" w:cs="Arial"/>
          <w:color w:val="252525"/>
        </w:rPr>
        <w:br/>
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</w:r>
      <w:r>
        <w:rPr>
          <w:rFonts w:ascii="Arial" w:hAnsi="Arial" w:cs="Arial"/>
          <w:color w:val="252525"/>
        </w:rPr>
        <w:br/>
        <w:t>налоговый орган</w:t>
      </w:r>
      <w:r>
        <w:rPr>
          <w:rFonts w:ascii="Arial" w:hAnsi="Arial" w:cs="Arial"/>
          <w:color w:val="252525"/>
        </w:rPr>
        <w:br/>
        <w:t>23.</w:t>
      </w:r>
      <w:r>
        <w:rPr>
          <w:rFonts w:ascii="Arial" w:hAnsi="Arial" w:cs="Arial"/>
          <w:color w:val="252525"/>
        </w:rPr>
        <w:br/>
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</w:r>
      <w:r>
        <w:rPr>
          <w:rFonts w:ascii="Arial" w:hAnsi="Arial" w:cs="Arial"/>
          <w:color w:val="252525"/>
        </w:rPr>
        <w:br/>
        <w:t>налоговый орган</w:t>
      </w:r>
      <w:r>
        <w:rPr>
          <w:rFonts w:ascii="Arial" w:hAnsi="Arial" w:cs="Arial"/>
          <w:color w:val="252525"/>
        </w:rPr>
        <w:br/>
        <w:t>24.</w:t>
      </w:r>
      <w:r>
        <w:rPr>
          <w:rFonts w:ascii="Arial" w:hAnsi="Arial" w:cs="Arial"/>
          <w:color w:val="252525"/>
        </w:rPr>
        <w:br/>
        <w:t>Результат оценки эффективности налогового расхода</w:t>
      </w:r>
      <w:r>
        <w:rPr>
          <w:rFonts w:ascii="Arial" w:hAnsi="Arial" w:cs="Arial"/>
          <w:color w:val="252525"/>
        </w:rPr>
        <w:br/>
        <w:t>уполномоченный орган местного самоуправления</w:t>
      </w:r>
      <w:r>
        <w:rPr>
          <w:rFonts w:ascii="Arial" w:hAnsi="Arial" w:cs="Arial"/>
          <w:color w:val="252525"/>
        </w:rPr>
        <w:br/>
        <w:t>25.</w:t>
      </w:r>
      <w:r>
        <w:rPr>
          <w:rFonts w:ascii="Arial" w:hAnsi="Arial" w:cs="Arial"/>
          <w:color w:val="252525"/>
        </w:rPr>
        <w:br/>
        <w:t>Оценка совокупного бюджетного эффекта (для стимулирующих налоговых расходов)</w:t>
      </w:r>
      <w:r>
        <w:rPr>
          <w:rFonts w:ascii="Arial" w:hAnsi="Arial" w:cs="Arial"/>
          <w:color w:val="252525"/>
        </w:rPr>
        <w:br/>
        <w:t>финансовый отдел</w:t>
      </w:r>
    </w:p>
    <w:p w:rsidR="0007164C" w:rsidRDefault="0007164C" w:rsidP="000716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27A2" w:rsidRPr="0007164C" w:rsidRDefault="009C27A2" w:rsidP="0007164C"/>
    <w:sectPr w:rsidR="009C27A2" w:rsidRPr="0007164C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47D6"/>
    <w:multiLevelType w:val="multilevel"/>
    <w:tmpl w:val="4618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FA8"/>
    <w:multiLevelType w:val="multilevel"/>
    <w:tmpl w:val="22D2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27655"/>
    <w:multiLevelType w:val="multilevel"/>
    <w:tmpl w:val="DDBA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C3944"/>
    <w:multiLevelType w:val="multilevel"/>
    <w:tmpl w:val="398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54334"/>
    <w:multiLevelType w:val="multilevel"/>
    <w:tmpl w:val="CB5A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B0E3B"/>
    <w:multiLevelType w:val="multilevel"/>
    <w:tmpl w:val="50C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42C43"/>
    <w:multiLevelType w:val="multilevel"/>
    <w:tmpl w:val="9E4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F1328"/>
    <w:multiLevelType w:val="multilevel"/>
    <w:tmpl w:val="49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E21B2"/>
    <w:multiLevelType w:val="multilevel"/>
    <w:tmpl w:val="BDA27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863D5"/>
    <w:multiLevelType w:val="multilevel"/>
    <w:tmpl w:val="7F0C9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F76FF"/>
    <w:multiLevelType w:val="multilevel"/>
    <w:tmpl w:val="B75A9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E7642"/>
    <w:multiLevelType w:val="multilevel"/>
    <w:tmpl w:val="0DF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2502F"/>
    <w:multiLevelType w:val="multilevel"/>
    <w:tmpl w:val="C1B83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E7CF5"/>
    <w:multiLevelType w:val="multilevel"/>
    <w:tmpl w:val="394A4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C321D"/>
    <w:multiLevelType w:val="multilevel"/>
    <w:tmpl w:val="A06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63FCC"/>
    <w:multiLevelType w:val="multilevel"/>
    <w:tmpl w:val="527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D1B33"/>
    <w:multiLevelType w:val="multilevel"/>
    <w:tmpl w:val="50F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55303"/>
    <w:multiLevelType w:val="multilevel"/>
    <w:tmpl w:val="E22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83F00"/>
    <w:multiLevelType w:val="multilevel"/>
    <w:tmpl w:val="4DAAD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C239E"/>
    <w:multiLevelType w:val="multilevel"/>
    <w:tmpl w:val="2ACA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257F4"/>
    <w:multiLevelType w:val="multilevel"/>
    <w:tmpl w:val="DA5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630D3"/>
    <w:multiLevelType w:val="multilevel"/>
    <w:tmpl w:val="B486E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B4D11"/>
    <w:multiLevelType w:val="multilevel"/>
    <w:tmpl w:val="8CD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43DE9"/>
    <w:multiLevelType w:val="multilevel"/>
    <w:tmpl w:val="B9127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B07D6"/>
    <w:multiLevelType w:val="multilevel"/>
    <w:tmpl w:val="AFCA4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C493F"/>
    <w:multiLevelType w:val="multilevel"/>
    <w:tmpl w:val="6EA8C1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D6C2B"/>
    <w:multiLevelType w:val="multilevel"/>
    <w:tmpl w:val="0A22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0615B"/>
    <w:multiLevelType w:val="multilevel"/>
    <w:tmpl w:val="7C6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F31488"/>
    <w:multiLevelType w:val="multilevel"/>
    <w:tmpl w:val="A4BEA3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83E29"/>
    <w:multiLevelType w:val="multilevel"/>
    <w:tmpl w:val="C3BA3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427305"/>
    <w:multiLevelType w:val="multilevel"/>
    <w:tmpl w:val="900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0"/>
  </w:num>
  <w:num w:numId="5">
    <w:abstractNumId w:val="31"/>
  </w:num>
  <w:num w:numId="6">
    <w:abstractNumId w:val="11"/>
  </w:num>
  <w:num w:numId="7">
    <w:abstractNumId w:val="28"/>
  </w:num>
  <w:num w:numId="8">
    <w:abstractNumId w:val="6"/>
  </w:num>
  <w:num w:numId="9">
    <w:abstractNumId w:val="41"/>
  </w:num>
  <w:num w:numId="10">
    <w:abstractNumId w:val="21"/>
  </w:num>
  <w:num w:numId="11">
    <w:abstractNumId w:val="43"/>
  </w:num>
  <w:num w:numId="12">
    <w:abstractNumId w:val="24"/>
  </w:num>
  <w:num w:numId="13">
    <w:abstractNumId w:val="14"/>
  </w:num>
  <w:num w:numId="14">
    <w:abstractNumId w:val="10"/>
  </w:num>
  <w:num w:numId="15">
    <w:abstractNumId w:val="35"/>
  </w:num>
  <w:num w:numId="16">
    <w:abstractNumId w:val="40"/>
  </w:num>
  <w:num w:numId="17">
    <w:abstractNumId w:val="33"/>
  </w:num>
  <w:num w:numId="18">
    <w:abstractNumId w:val="15"/>
  </w:num>
  <w:num w:numId="19">
    <w:abstractNumId w:val="25"/>
  </w:num>
  <w:num w:numId="20">
    <w:abstractNumId w:val="29"/>
  </w:num>
  <w:num w:numId="21">
    <w:abstractNumId w:val="5"/>
  </w:num>
  <w:num w:numId="22">
    <w:abstractNumId w:val="23"/>
  </w:num>
  <w:num w:numId="23">
    <w:abstractNumId w:val="18"/>
  </w:num>
  <w:num w:numId="24">
    <w:abstractNumId w:val="9"/>
  </w:num>
  <w:num w:numId="25">
    <w:abstractNumId w:val="37"/>
  </w:num>
  <w:num w:numId="26">
    <w:abstractNumId w:val="2"/>
  </w:num>
  <w:num w:numId="27">
    <w:abstractNumId w:val="7"/>
  </w:num>
  <w:num w:numId="28">
    <w:abstractNumId w:val="8"/>
  </w:num>
  <w:num w:numId="29">
    <w:abstractNumId w:val="19"/>
  </w:num>
  <w:num w:numId="30">
    <w:abstractNumId w:val="16"/>
  </w:num>
  <w:num w:numId="31">
    <w:abstractNumId w:val="3"/>
  </w:num>
  <w:num w:numId="32">
    <w:abstractNumId w:val="30"/>
  </w:num>
  <w:num w:numId="33">
    <w:abstractNumId w:val="42"/>
  </w:num>
  <w:num w:numId="34">
    <w:abstractNumId w:val="12"/>
  </w:num>
  <w:num w:numId="35">
    <w:abstractNumId w:val="13"/>
  </w:num>
  <w:num w:numId="36">
    <w:abstractNumId w:val="34"/>
  </w:num>
  <w:num w:numId="37">
    <w:abstractNumId w:val="39"/>
  </w:num>
  <w:num w:numId="38">
    <w:abstractNumId w:val="36"/>
  </w:num>
  <w:num w:numId="39">
    <w:abstractNumId w:val="38"/>
  </w:num>
  <w:num w:numId="40">
    <w:abstractNumId w:val="4"/>
  </w:num>
  <w:num w:numId="41">
    <w:abstractNumId w:val="26"/>
  </w:num>
  <w:num w:numId="42">
    <w:abstractNumId w:val="32"/>
  </w:num>
  <w:num w:numId="43">
    <w:abstractNumId w:val="17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529EF"/>
    <w:rsid w:val="0003770C"/>
    <w:rsid w:val="0007164C"/>
    <w:rsid w:val="000B5439"/>
    <w:rsid w:val="001170BB"/>
    <w:rsid w:val="00187244"/>
    <w:rsid w:val="002D1798"/>
    <w:rsid w:val="00303565"/>
    <w:rsid w:val="003037E0"/>
    <w:rsid w:val="00320A50"/>
    <w:rsid w:val="00333B38"/>
    <w:rsid w:val="00375386"/>
    <w:rsid w:val="0038758D"/>
    <w:rsid w:val="003F4D18"/>
    <w:rsid w:val="004947A3"/>
    <w:rsid w:val="004F0A02"/>
    <w:rsid w:val="005100F7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9C3B09"/>
    <w:rsid w:val="00A404CE"/>
    <w:rsid w:val="00B976B5"/>
    <w:rsid w:val="00BD5941"/>
    <w:rsid w:val="00BD70F1"/>
    <w:rsid w:val="00BF0B77"/>
    <w:rsid w:val="00C73DD6"/>
    <w:rsid w:val="00CC591D"/>
    <w:rsid w:val="00D4419D"/>
    <w:rsid w:val="00D942F4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3366</Words>
  <Characters>19187</Characters>
  <Application>Microsoft Office Word</Application>
  <DocSecurity>0</DocSecurity>
  <Lines>159</Lines>
  <Paragraphs>45</Paragraphs>
  <ScaleCrop>false</ScaleCrop>
  <Company>SPecialiST RePack</Company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2023-10-04T07:12:00Z</dcterms:created>
  <dcterms:modified xsi:type="dcterms:W3CDTF">2023-10-04T07:49:00Z</dcterms:modified>
</cp:coreProperties>
</file>