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АДМИНИСТРАЦИЯ</w:t>
      </w:r>
      <w:r>
        <w:rPr>
          <w:rFonts w:ascii="Arial" w:hAnsi="Arial" w:cs="Arial"/>
          <w:color w:val="252525"/>
        </w:rPr>
        <w:br/>
        <w:t>МАНСУРОВСКОГО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ПОСТАНОВЛЕНИЕ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от 13.10.2021 года № 60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2022 год и на плановый период 2023 и 2024 годов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 xml:space="preserve">В целях разработки проекта бюджета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2022 год и плановый период 2023 – 2024 годов, руководствуясь ст. 172, ст.184 Бюджетного кодекса Российской Федерации, Федеральным законом от 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сельсовет», Администрация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ПОСТАНОВЛЯЕТ:</w:t>
      </w:r>
      <w:proofErr w:type="gramEnd"/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1.Утвердить прилагаемые основные направления бюджетной и налоговой политики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2022год и на плановый период 2023 и 2024 годов</w:t>
      </w:r>
      <w:proofErr w:type="gramStart"/>
      <w:r>
        <w:rPr>
          <w:rFonts w:ascii="Arial" w:hAnsi="Arial" w:cs="Arial"/>
          <w:color w:val="252525"/>
        </w:rPr>
        <w:t>.</w:t>
      </w:r>
      <w:proofErr w:type="gramEnd"/>
      <w:r>
        <w:rPr>
          <w:rFonts w:ascii="Arial" w:hAnsi="Arial" w:cs="Arial"/>
          <w:color w:val="252525"/>
        </w:rPr>
        <w:t xml:space="preserve"> (</w:t>
      </w:r>
      <w:proofErr w:type="spellStart"/>
      <w:proofErr w:type="gramStart"/>
      <w:r>
        <w:rPr>
          <w:rFonts w:ascii="Arial" w:hAnsi="Arial" w:cs="Arial"/>
          <w:color w:val="252525"/>
        </w:rPr>
        <w:t>д</w:t>
      </w:r>
      <w:proofErr w:type="gramEnd"/>
      <w:r>
        <w:rPr>
          <w:rFonts w:ascii="Arial" w:hAnsi="Arial" w:cs="Arial"/>
          <w:color w:val="252525"/>
        </w:rPr>
        <w:t>алее-Основные</w:t>
      </w:r>
      <w:proofErr w:type="spellEnd"/>
      <w:r>
        <w:rPr>
          <w:rFonts w:ascii="Arial" w:hAnsi="Arial" w:cs="Arial"/>
          <w:color w:val="252525"/>
        </w:rPr>
        <w:t xml:space="preserve"> направления бюджетной и налоговой политики).</w:t>
      </w:r>
      <w:r>
        <w:rPr>
          <w:rFonts w:ascii="Arial" w:hAnsi="Arial" w:cs="Arial"/>
          <w:color w:val="252525"/>
        </w:rPr>
        <w:br/>
        <w:t xml:space="preserve">2. </w:t>
      </w:r>
      <w:proofErr w:type="gramStart"/>
      <w:r>
        <w:rPr>
          <w:rFonts w:ascii="Arial" w:hAnsi="Arial" w:cs="Arial"/>
          <w:color w:val="252525"/>
        </w:rPr>
        <w:t xml:space="preserve">Считать утратившим силу постановление Администрации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от 08.10.2019 г.№71 «Об утверждении основных направлений бюджетной и налоговой политики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2020-2022 гг.»</w:t>
      </w:r>
      <w:r>
        <w:rPr>
          <w:rFonts w:ascii="Arial" w:hAnsi="Arial" w:cs="Arial"/>
          <w:color w:val="252525"/>
        </w:rPr>
        <w:br/>
        <w:t xml:space="preserve">3.Контроль за исполнением настоящего постановления возложить на Начальника отдела бухгалтерского учета и отчетности </w:t>
      </w:r>
      <w:proofErr w:type="spellStart"/>
      <w:r>
        <w:rPr>
          <w:rFonts w:ascii="Arial" w:hAnsi="Arial" w:cs="Arial"/>
          <w:color w:val="252525"/>
        </w:rPr>
        <w:t>Н.В.Волжину</w:t>
      </w:r>
      <w:proofErr w:type="spellEnd"/>
      <w:r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br/>
        <w:t>4.Настоящее постановление вступает в силу со дня его подписания.</w:t>
      </w:r>
      <w:proofErr w:type="gramEnd"/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Глава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</w:t>
      </w:r>
      <w:r>
        <w:rPr>
          <w:rFonts w:ascii="Arial" w:hAnsi="Arial" w:cs="Arial"/>
          <w:color w:val="252525"/>
        </w:rPr>
        <w:br/>
        <w:t>Советского района А.А.Анненков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 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Приложение</w:t>
      </w:r>
      <w:r>
        <w:rPr>
          <w:rFonts w:ascii="Arial" w:hAnsi="Arial" w:cs="Arial"/>
          <w:color w:val="252525"/>
        </w:rPr>
        <w:br/>
        <w:t>к постановлению</w:t>
      </w:r>
      <w:r>
        <w:rPr>
          <w:rFonts w:ascii="Arial" w:hAnsi="Arial" w:cs="Arial"/>
          <w:color w:val="252525"/>
        </w:rPr>
        <w:br/>
        <w:t xml:space="preserve">Администрации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</w:t>
      </w:r>
      <w:r>
        <w:rPr>
          <w:rFonts w:ascii="Arial" w:hAnsi="Arial" w:cs="Arial"/>
          <w:color w:val="252525"/>
        </w:rPr>
        <w:br/>
        <w:t>Советского района Курской области</w:t>
      </w:r>
      <w:r>
        <w:rPr>
          <w:rFonts w:ascii="Arial" w:hAnsi="Arial" w:cs="Arial"/>
          <w:color w:val="252525"/>
        </w:rPr>
        <w:br/>
        <w:t>от 13.10.2021 года №60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lastRenderedPageBreak/>
        <w:t>Основные направления</w:t>
      </w:r>
      <w:r>
        <w:rPr>
          <w:rFonts w:ascii="Arial" w:hAnsi="Arial" w:cs="Arial"/>
          <w:color w:val="252525"/>
        </w:rPr>
        <w:br/>
        <w:t>бюджетной и налоговой политики</w:t>
      </w:r>
      <w:r>
        <w:rPr>
          <w:rFonts w:ascii="Arial" w:hAnsi="Arial" w:cs="Arial"/>
          <w:color w:val="252525"/>
        </w:rPr>
        <w:br/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</w:t>
      </w:r>
      <w:r>
        <w:rPr>
          <w:rFonts w:ascii="Arial" w:hAnsi="Arial" w:cs="Arial"/>
          <w:color w:val="252525"/>
        </w:rPr>
        <w:br/>
        <w:t>на 2022год и на плановый период 2023 и 2024 годов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 xml:space="preserve">Основные направления бюджетной и налоговой политики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2022 год и на плановый период 2023 и 2024 годов подготовлены в соответствии со статьей ст. 172, ст.184 Бюджетного кодекса Российской Федерации, Федеральным законом от 06.10.2006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</w:t>
      </w:r>
      <w:proofErr w:type="gramEnd"/>
      <w:r>
        <w:rPr>
          <w:rFonts w:ascii="Arial" w:hAnsi="Arial" w:cs="Arial"/>
          <w:color w:val="252525"/>
        </w:rPr>
        <w:t>».</w:t>
      </w:r>
      <w:r>
        <w:rPr>
          <w:rFonts w:ascii="Arial" w:hAnsi="Arial" w:cs="Arial"/>
          <w:color w:val="252525"/>
        </w:rPr>
        <w:br/>
        <w:t xml:space="preserve">В основу бюджетной и налоговой политики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2022год и на плановый период 2023 и 2024 годов положены Послание Президента Российской Федерации Федеральному Собранию Российской Федерации от 21 апреля 2021 года и Программа оздоровления муниципальных финансов муниципального образования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 Советского района Курской области.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>Основные задачи бюджетной политики</w:t>
      </w:r>
      <w:r>
        <w:rPr>
          <w:rFonts w:ascii="Arial" w:hAnsi="Arial" w:cs="Arial"/>
          <w:color w:val="252525"/>
        </w:rPr>
        <w:br/>
        <w:t>на 2022год и на плановый период 2023 и 2024 годов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Целью основных направлений бюджетной политики на 2022 годи на плановый период 2023 и 2024 годов является определение основных подходов к формированию характеристик и прогнозируемых параметров проекта местного бюджета на 2022 год и на плановый период 2023 и 2024 годов и дальнейшее повышение эффективности использования бюджетных средств. Основными задачами бюджетной политики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Курской области на 2022 год и на плановый период 2023 и 2024 годов будут: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  <w:r>
        <w:rPr>
          <w:rFonts w:ascii="Arial" w:hAnsi="Arial" w:cs="Arial"/>
          <w:color w:val="252525"/>
        </w:rPr>
        <w:br/>
        <w:t>реализация мероприятий, направленных на повышение качества планирования и эффективности реализации муниципальных программ муниципального образования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 Советского района исходя из ожидаемых результатов, с учетом изменения законодательства на федеральном уровне;</w:t>
      </w:r>
      <w:r>
        <w:rPr>
          <w:rFonts w:ascii="Arial" w:hAnsi="Arial" w:cs="Arial"/>
          <w:color w:val="252525"/>
        </w:rPr>
        <w:br/>
        <w:t xml:space="preserve">соблюдение условий соглашений, заключенных Администрацией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 с Администрацией Советского района и комитетами Курской области;</w:t>
      </w:r>
      <w:proofErr w:type="gramEnd"/>
      <w:r>
        <w:rPr>
          <w:rFonts w:ascii="Arial" w:hAnsi="Arial" w:cs="Arial"/>
          <w:color w:val="252525"/>
        </w:rPr>
        <w:br/>
        <w:t xml:space="preserve">реализация мер по повышению эффективности использования бюджетных средств, в том числе путем выполнения мероприятий по оздоровлению муниципальных финансов </w:t>
      </w:r>
      <w:proofErr w:type="spellStart"/>
      <w:r>
        <w:rPr>
          <w:rFonts w:ascii="Arial" w:hAnsi="Arial" w:cs="Arial"/>
          <w:color w:val="252525"/>
        </w:rPr>
        <w:t>Мансуровского</w:t>
      </w:r>
      <w:proofErr w:type="spellEnd"/>
      <w:r>
        <w:rPr>
          <w:rFonts w:ascii="Arial" w:hAnsi="Arial" w:cs="Arial"/>
          <w:color w:val="252525"/>
        </w:rPr>
        <w:t xml:space="preserve"> сельсовета Советского района;</w:t>
      </w:r>
      <w:r>
        <w:rPr>
          <w:rFonts w:ascii="Arial" w:hAnsi="Arial" w:cs="Arial"/>
          <w:color w:val="252525"/>
        </w:rPr>
        <w:br/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местного бюджета, недопущение установления и исполнения расходных обязательств, не относящихся к полномочиям органов муниципальной власти</w:t>
      </w:r>
      <w:proofErr w:type="gramStart"/>
      <w:r>
        <w:rPr>
          <w:rFonts w:ascii="Arial" w:hAnsi="Arial" w:cs="Arial"/>
          <w:color w:val="252525"/>
        </w:rPr>
        <w:t xml:space="preserve"> ;</w:t>
      </w:r>
      <w:proofErr w:type="gramEnd"/>
      <w:r>
        <w:rPr>
          <w:rFonts w:ascii="Arial" w:hAnsi="Arial" w:cs="Arial"/>
          <w:color w:val="252525"/>
        </w:rPr>
        <w:br/>
        <w:t>финансовое обеспечение реализации инфраструктурных проектов;</w:t>
      </w:r>
      <w:r>
        <w:rPr>
          <w:rFonts w:ascii="Arial" w:hAnsi="Arial" w:cs="Arial"/>
          <w:color w:val="252525"/>
        </w:rPr>
        <w:br/>
        <w:t>строгое соблюдение бюджетно-финансовой дисциплины главными распорядителями и получателями бюджетных средств;</w:t>
      </w:r>
      <w:r>
        <w:rPr>
          <w:rFonts w:ascii="Arial" w:hAnsi="Arial" w:cs="Arial"/>
          <w:color w:val="252525"/>
        </w:rPr>
        <w:br/>
        <w:t>осуществление анализа деятельности казенных, бюджетных и автономных учреждений;</w:t>
      </w:r>
      <w:r>
        <w:rPr>
          <w:rFonts w:ascii="Arial" w:hAnsi="Arial" w:cs="Arial"/>
          <w:color w:val="252525"/>
        </w:rPr>
        <w:br/>
        <w:t xml:space="preserve">недопущение просроченной кредиторской задолженности по заработной плате и </w:t>
      </w:r>
      <w:r>
        <w:rPr>
          <w:rFonts w:ascii="Arial" w:hAnsi="Arial" w:cs="Arial"/>
          <w:color w:val="252525"/>
        </w:rPr>
        <w:lastRenderedPageBreak/>
        <w:t>социальным выплатам;</w:t>
      </w:r>
      <w:r>
        <w:rPr>
          <w:rFonts w:ascii="Arial" w:hAnsi="Arial" w:cs="Arial"/>
          <w:color w:val="252525"/>
        </w:rPr>
        <w:br/>
        <w:t>совершенствование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  <w:r>
        <w:rPr>
          <w:rFonts w:ascii="Arial" w:hAnsi="Arial" w:cs="Arial"/>
          <w:color w:val="252525"/>
        </w:rPr>
        <w:br/>
        <w:t>обеспечение открытости и прозрачности бюджетного процесса, доступности информации о муниципальных финансах ;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Основные задачи налоговой политики на 2022 год и на плановый период 2023 и 2024 годов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proofErr w:type="gramStart"/>
      <w:r>
        <w:rPr>
          <w:rFonts w:ascii="Arial" w:hAnsi="Arial" w:cs="Arial"/>
          <w:color w:val="252525"/>
        </w:rPr>
        <w:t>Основным приоритетом налоговой политики на 2022 год и на плановый период 2023 и 2024 годов является обеспечение преемственности целей и задач налоговой политики предыдущего периода, поддержка инвестиций и роста предпринимательской активности на основе стабильной налоговой системы и формирования привлекательных налоговых условий для субъектов хозяйственной деятельности, а также сохранение социальной стабильности в обществе.</w:t>
      </w:r>
      <w:proofErr w:type="gramEnd"/>
      <w:r>
        <w:rPr>
          <w:rFonts w:ascii="Arial" w:hAnsi="Arial" w:cs="Arial"/>
          <w:color w:val="252525"/>
        </w:rPr>
        <w:br/>
        <w:t>Главным стратегическим ориентиром налоговой политики будет являться развитие и укрепление налогового потенциала муниципального образования, стабильность и предсказуемость налогового законодательства, повышение прозрачности налоговой политики, а также сбалансированность фискального и стимулирующего действия налогов и сборов в целях поступательного экономического развития муниципального образования.</w:t>
      </w:r>
      <w:r>
        <w:rPr>
          <w:rFonts w:ascii="Arial" w:hAnsi="Arial" w:cs="Arial"/>
          <w:color w:val="252525"/>
        </w:rPr>
        <w:br/>
        <w:t>Основными направлениями налоговой политики будут:</w:t>
      </w:r>
      <w:r>
        <w:rPr>
          <w:rFonts w:ascii="Arial" w:hAnsi="Arial" w:cs="Arial"/>
          <w:color w:val="252525"/>
        </w:rPr>
        <w:br/>
        <w:t>мобилизация резервов доходной базы бюджета муниципального образования;</w:t>
      </w:r>
      <w:r>
        <w:rPr>
          <w:rFonts w:ascii="Arial" w:hAnsi="Arial" w:cs="Arial"/>
          <w:color w:val="252525"/>
        </w:rPr>
        <w:br/>
        <w:t>применение мер налогового стимулирования, направленных на поддержку и реализацию инвестиционных проектов в целях обеспечения привлекательности экономики муниципального образования для инвесторов;</w:t>
      </w:r>
      <w:r>
        <w:rPr>
          <w:rFonts w:ascii="Arial" w:hAnsi="Arial" w:cs="Arial"/>
          <w:color w:val="252525"/>
        </w:rPr>
        <w:br/>
        <w:t>обеспечение роста доходов бюджета муниципального образования за счет повышения эффективности администрирования действующих налоговых платежей и сборов;</w:t>
      </w:r>
      <w:r>
        <w:rPr>
          <w:rFonts w:ascii="Arial" w:hAnsi="Arial" w:cs="Arial"/>
          <w:color w:val="252525"/>
        </w:rPr>
        <w:br/>
      </w:r>
      <w:proofErr w:type="gramStart"/>
      <w:r>
        <w:rPr>
          <w:rFonts w:ascii="Arial" w:hAnsi="Arial" w:cs="Arial"/>
          <w:color w:val="252525"/>
        </w:rPr>
        <w:t>совершенствование региональной практики налогообложения от кадастровой стоимости по всему спектру недвижимого имущества;</w:t>
      </w:r>
      <w:r>
        <w:rPr>
          <w:rFonts w:ascii="Arial" w:hAnsi="Arial" w:cs="Arial"/>
          <w:color w:val="252525"/>
        </w:rPr>
        <w:br/>
        <w:t>расширение налогооблагаемой базы по имущественным налогам, в том числе за счет выявления правообладателей ранее учтенных объектов недвижимости, а также путем проведения кадастровой оценки;</w:t>
      </w:r>
      <w:r>
        <w:rPr>
          <w:rFonts w:ascii="Arial" w:hAnsi="Arial" w:cs="Arial"/>
          <w:color w:val="252525"/>
        </w:rPr>
        <w:br/>
        <w:t>проведение сбалансированной налоговой политики, соблюдающей интересы бизнеса и поддержку социального сектора экономики, при условии обеспечения преемственности налоговой политики в части социальной и инвестиционной направленности;</w:t>
      </w:r>
      <w:proofErr w:type="gramEnd"/>
      <w:r>
        <w:rPr>
          <w:rFonts w:ascii="Arial" w:hAnsi="Arial" w:cs="Arial"/>
          <w:color w:val="252525"/>
        </w:rPr>
        <w:br/>
        <w:t>содействие вовлечению граждан Российской Федерации в предпринимательскую деятельность и сокращение неформальной занятости;</w:t>
      </w:r>
      <w:r>
        <w:rPr>
          <w:rFonts w:ascii="Arial" w:hAnsi="Arial" w:cs="Arial"/>
          <w:color w:val="252525"/>
        </w:rPr>
        <w:br/>
        <w:t xml:space="preserve">ежегодное проведение оценки эффективности налоговых расходов, обусловленных предоставлением льгот по местным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выявления их неэффективности; </w:t>
      </w:r>
      <w:proofErr w:type="gramStart"/>
      <w:r>
        <w:rPr>
          <w:rFonts w:ascii="Arial" w:hAnsi="Arial" w:cs="Arial"/>
          <w:color w:val="252525"/>
        </w:rPr>
        <w:t>предоставление налоговых льгот на ограниченный период в соответствии с целями политики муниципального образования;</w:t>
      </w:r>
      <w:r>
        <w:rPr>
          <w:rFonts w:ascii="Arial" w:hAnsi="Arial" w:cs="Arial"/>
          <w:color w:val="252525"/>
        </w:rPr>
        <w:br/>
        <w:t>взаимодействие органов исполнительной власти области и органов</w:t>
      </w:r>
      <w:r>
        <w:rPr>
          <w:rFonts w:ascii="Arial" w:hAnsi="Arial" w:cs="Arial"/>
          <w:color w:val="252525"/>
        </w:rPr>
        <w:br/>
        <w:t>местного самоуправления исполнительной власти по выполнению мероприятий,</w:t>
      </w:r>
      <w:r>
        <w:rPr>
          <w:rFonts w:ascii="Arial" w:hAnsi="Arial" w:cs="Arial"/>
          <w:color w:val="252525"/>
        </w:rPr>
        <w:br/>
        <w:t>направленных на повышение собираемости доходов и укрепление</w:t>
      </w:r>
      <w:r>
        <w:rPr>
          <w:rFonts w:ascii="Arial" w:hAnsi="Arial" w:cs="Arial"/>
          <w:color w:val="252525"/>
        </w:rPr>
        <w:br/>
        <w:t xml:space="preserve">налоговой дисциплины налогоплательщиков, реализация мер по </w:t>
      </w:r>
      <w:r>
        <w:rPr>
          <w:rFonts w:ascii="Arial" w:hAnsi="Arial" w:cs="Arial"/>
          <w:color w:val="252525"/>
        </w:rPr>
        <w:lastRenderedPageBreak/>
        <w:t>противодействию уклонению от уплаты налогов и других обязательных платежей в бюджет;</w:t>
      </w:r>
      <w:proofErr w:type="gramEnd"/>
      <w:r>
        <w:rPr>
          <w:rFonts w:ascii="Arial" w:hAnsi="Arial" w:cs="Arial"/>
          <w:color w:val="252525"/>
        </w:rPr>
        <w:br/>
        <w:t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</w:t>
      </w:r>
      <w:r>
        <w:rPr>
          <w:rFonts w:ascii="Arial" w:hAnsi="Arial" w:cs="Arial"/>
          <w:color w:val="252525"/>
        </w:rPr>
        <w:br/>
      </w:r>
      <w:r>
        <w:rPr>
          <w:rFonts w:ascii="Arial" w:hAnsi="Arial" w:cs="Arial"/>
          <w:color w:val="252525"/>
        </w:rPr>
        <w:br/>
        <w:t>Основные принципы формирования местного бюджета</w:t>
      </w:r>
    </w:p>
    <w:p w:rsidR="009C3B09" w:rsidRDefault="009C3B09" w:rsidP="009C3B09">
      <w:pPr>
        <w:pStyle w:val="a3"/>
        <w:shd w:val="clear" w:color="auto" w:fill="FFFFFF"/>
        <w:spacing w:before="0" w:beforeAutospacing="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Формирование местного бюджета на 2022 год и плановый период 2023 и 2024 годов осуществляется строго в соответствии с требованиями Бюджетного кодекса Российской Федерации.</w:t>
      </w:r>
      <w:r>
        <w:rPr>
          <w:rFonts w:ascii="Arial" w:hAnsi="Arial" w:cs="Arial"/>
          <w:color w:val="252525"/>
        </w:rPr>
        <w:br/>
      </w:r>
      <w:proofErr w:type="gramStart"/>
      <w:r>
        <w:rPr>
          <w:rFonts w:ascii="Arial" w:hAnsi="Arial" w:cs="Arial"/>
          <w:color w:val="252525"/>
        </w:rPr>
        <w:t>Местный бюджет формируется на основе прогноза социально-экономического развития муниципального образования «</w:t>
      </w:r>
      <w:proofErr w:type="spellStart"/>
      <w:r>
        <w:rPr>
          <w:rFonts w:ascii="Arial" w:hAnsi="Arial" w:cs="Arial"/>
          <w:color w:val="252525"/>
        </w:rPr>
        <w:t>Мансуровский</w:t>
      </w:r>
      <w:proofErr w:type="spellEnd"/>
      <w:r>
        <w:rPr>
          <w:rFonts w:ascii="Arial" w:hAnsi="Arial" w:cs="Arial"/>
          <w:color w:val="252525"/>
        </w:rPr>
        <w:t xml:space="preserve"> сельсовет» Советского района на 2022 и плановый период 2023 и 2024 годов</w:t>
      </w:r>
      <w:r>
        <w:rPr>
          <w:rFonts w:ascii="Arial" w:hAnsi="Arial" w:cs="Arial"/>
          <w:color w:val="252525"/>
        </w:rPr>
        <w:br/>
        <w:t>Доходная часть местного бюджета формируется за счет собственных доходов, в том числе отчислений от федеральных и региональных регулирующих налогов, и сборов по нормативам, утвержденным Бюджетным кодексом Российской Федерации и Законами Курской области.</w:t>
      </w:r>
      <w:proofErr w:type="gramEnd"/>
      <w:r>
        <w:rPr>
          <w:rFonts w:ascii="Arial" w:hAnsi="Arial" w:cs="Arial"/>
          <w:color w:val="252525"/>
        </w:rPr>
        <w:t xml:space="preserve"> В доходную часть бюджета также включаются доходы, полученные казенными учреждениями от предпринимательской деятельности, оказания платных услуг.</w:t>
      </w:r>
      <w:r>
        <w:rPr>
          <w:rFonts w:ascii="Arial" w:hAnsi="Arial" w:cs="Arial"/>
          <w:color w:val="252525"/>
        </w:rPr>
        <w:br/>
        <w:t>Формирование расходов местного бюджета осуществляется в соответствии с расходными обязательствами в пределах реальных возможностей доходной части местного бюджета с учетом обеспечения приоритетного финансирования.</w:t>
      </w:r>
    </w:p>
    <w:p w:rsidR="009C27A2" w:rsidRPr="009C3B09" w:rsidRDefault="009C27A2" w:rsidP="009C3B09"/>
    <w:sectPr w:rsidR="009C27A2" w:rsidRPr="009C3B09" w:rsidSect="009C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438F"/>
    <w:multiLevelType w:val="multilevel"/>
    <w:tmpl w:val="26A87E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C37DA"/>
    <w:multiLevelType w:val="multilevel"/>
    <w:tmpl w:val="2A86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047D6"/>
    <w:multiLevelType w:val="multilevel"/>
    <w:tmpl w:val="46188C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587FA8"/>
    <w:multiLevelType w:val="multilevel"/>
    <w:tmpl w:val="22D25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227655"/>
    <w:multiLevelType w:val="multilevel"/>
    <w:tmpl w:val="DDBAD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3C3944"/>
    <w:multiLevelType w:val="multilevel"/>
    <w:tmpl w:val="39864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E3814"/>
    <w:multiLevelType w:val="multilevel"/>
    <w:tmpl w:val="34D67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554334"/>
    <w:multiLevelType w:val="multilevel"/>
    <w:tmpl w:val="CB5AE5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DB0E3B"/>
    <w:multiLevelType w:val="multilevel"/>
    <w:tmpl w:val="50CC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F42C43"/>
    <w:multiLevelType w:val="multilevel"/>
    <w:tmpl w:val="9E4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24F1328"/>
    <w:multiLevelType w:val="multilevel"/>
    <w:tmpl w:val="49F8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882537"/>
    <w:multiLevelType w:val="multilevel"/>
    <w:tmpl w:val="C340E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8E21B2"/>
    <w:multiLevelType w:val="multilevel"/>
    <w:tmpl w:val="BDA27E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8863D5"/>
    <w:multiLevelType w:val="multilevel"/>
    <w:tmpl w:val="7F0C93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83460D"/>
    <w:multiLevelType w:val="multilevel"/>
    <w:tmpl w:val="4DE24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4F76FF"/>
    <w:multiLevelType w:val="multilevel"/>
    <w:tmpl w:val="B75A9B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FE7642"/>
    <w:multiLevelType w:val="multilevel"/>
    <w:tmpl w:val="0DFCB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22502F"/>
    <w:multiLevelType w:val="multilevel"/>
    <w:tmpl w:val="C1B83C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E7CF5"/>
    <w:multiLevelType w:val="multilevel"/>
    <w:tmpl w:val="394A42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FC321D"/>
    <w:multiLevelType w:val="multilevel"/>
    <w:tmpl w:val="A06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63FCC"/>
    <w:multiLevelType w:val="multilevel"/>
    <w:tmpl w:val="5270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6D0576"/>
    <w:multiLevelType w:val="multilevel"/>
    <w:tmpl w:val="6360BB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2C6E6E"/>
    <w:multiLevelType w:val="multilevel"/>
    <w:tmpl w:val="8D2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CD1B33"/>
    <w:multiLevelType w:val="multilevel"/>
    <w:tmpl w:val="50FA0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155459"/>
    <w:multiLevelType w:val="multilevel"/>
    <w:tmpl w:val="4546F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755303"/>
    <w:multiLevelType w:val="multilevel"/>
    <w:tmpl w:val="E222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C83F00"/>
    <w:multiLevelType w:val="multilevel"/>
    <w:tmpl w:val="4DAADF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976E37"/>
    <w:multiLevelType w:val="multilevel"/>
    <w:tmpl w:val="E7D8C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BC0CD6"/>
    <w:multiLevelType w:val="multilevel"/>
    <w:tmpl w:val="4820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9CC239E"/>
    <w:multiLevelType w:val="multilevel"/>
    <w:tmpl w:val="2ACAF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2257F4"/>
    <w:multiLevelType w:val="multilevel"/>
    <w:tmpl w:val="DA521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906D67"/>
    <w:multiLevelType w:val="multilevel"/>
    <w:tmpl w:val="BB124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0630D3"/>
    <w:multiLevelType w:val="multilevel"/>
    <w:tmpl w:val="B486E5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AB4D11"/>
    <w:multiLevelType w:val="multilevel"/>
    <w:tmpl w:val="8CD40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443DE9"/>
    <w:multiLevelType w:val="multilevel"/>
    <w:tmpl w:val="B91279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8B07D6"/>
    <w:multiLevelType w:val="multilevel"/>
    <w:tmpl w:val="AFCA4F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AC493F"/>
    <w:multiLevelType w:val="multilevel"/>
    <w:tmpl w:val="6EA8C1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9D6C2B"/>
    <w:multiLevelType w:val="multilevel"/>
    <w:tmpl w:val="0A223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40615B"/>
    <w:multiLevelType w:val="multilevel"/>
    <w:tmpl w:val="7C62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F31488"/>
    <w:multiLevelType w:val="multilevel"/>
    <w:tmpl w:val="A4BEA3C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383E29"/>
    <w:multiLevelType w:val="multilevel"/>
    <w:tmpl w:val="C3BA3C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463C64"/>
    <w:multiLevelType w:val="multilevel"/>
    <w:tmpl w:val="0D62C8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427305"/>
    <w:multiLevelType w:val="multilevel"/>
    <w:tmpl w:val="900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0F2D56"/>
    <w:multiLevelType w:val="multilevel"/>
    <w:tmpl w:val="CCD83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2"/>
  </w:num>
  <w:num w:numId="3">
    <w:abstractNumId w:val="27"/>
  </w:num>
  <w:num w:numId="4">
    <w:abstractNumId w:val="0"/>
  </w:num>
  <w:num w:numId="5">
    <w:abstractNumId w:val="31"/>
  </w:num>
  <w:num w:numId="6">
    <w:abstractNumId w:val="11"/>
  </w:num>
  <w:num w:numId="7">
    <w:abstractNumId w:val="28"/>
  </w:num>
  <w:num w:numId="8">
    <w:abstractNumId w:val="6"/>
  </w:num>
  <w:num w:numId="9">
    <w:abstractNumId w:val="41"/>
  </w:num>
  <w:num w:numId="10">
    <w:abstractNumId w:val="21"/>
  </w:num>
  <w:num w:numId="11">
    <w:abstractNumId w:val="43"/>
  </w:num>
  <w:num w:numId="12">
    <w:abstractNumId w:val="24"/>
  </w:num>
  <w:num w:numId="13">
    <w:abstractNumId w:val="14"/>
  </w:num>
  <w:num w:numId="14">
    <w:abstractNumId w:val="10"/>
  </w:num>
  <w:num w:numId="15">
    <w:abstractNumId w:val="35"/>
  </w:num>
  <w:num w:numId="16">
    <w:abstractNumId w:val="40"/>
  </w:num>
  <w:num w:numId="17">
    <w:abstractNumId w:val="33"/>
  </w:num>
  <w:num w:numId="18">
    <w:abstractNumId w:val="15"/>
  </w:num>
  <w:num w:numId="19">
    <w:abstractNumId w:val="25"/>
  </w:num>
  <w:num w:numId="20">
    <w:abstractNumId w:val="29"/>
  </w:num>
  <w:num w:numId="21">
    <w:abstractNumId w:val="5"/>
  </w:num>
  <w:num w:numId="22">
    <w:abstractNumId w:val="23"/>
  </w:num>
  <w:num w:numId="23">
    <w:abstractNumId w:val="18"/>
  </w:num>
  <w:num w:numId="24">
    <w:abstractNumId w:val="9"/>
  </w:num>
  <w:num w:numId="25">
    <w:abstractNumId w:val="37"/>
  </w:num>
  <w:num w:numId="26">
    <w:abstractNumId w:val="2"/>
  </w:num>
  <w:num w:numId="27">
    <w:abstractNumId w:val="7"/>
  </w:num>
  <w:num w:numId="28">
    <w:abstractNumId w:val="8"/>
  </w:num>
  <w:num w:numId="29">
    <w:abstractNumId w:val="19"/>
  </w:num>
  <w:num w:numId="30">
    <w:abstractNumId w:val="16"/>
  </w:num>
  <w:num w:numId="31">
    <w:abstractNumId w:val="3"/>
  </w:num>
  <w:num w:numId="32">
    <w:abstractNumId w:val="30"/>
  </w:num>
  <w:num w:numId="33">
    <w:abstractNumId w:val="42"/>
  </w:num>
  <w:num w:numId="34">
    <w:abstractNumId w:val="12"/>
  </w:num>
  <w:num w:numId="35">
    <w:abstractNumId w:val="13"/>
  </w:num>
  <w:num w:numId="36">
    <w:abstractNumId w:val="34"/>
  </w:num>
  <w:num w:numId="37">
    <w:abstractNumId w:val="39"/>
  </w:num>
  <w:num w:numId="38">
    <w:abstractNumId w:val="36"/>
  </w:num>
  <w:num w:numId="39">
    <w:abstractNumId w:val="38"/>
  </w:num>
  <w:num w:numId="40">
    <w:abstractNumId w:val="4"/>
  </w:num>
  <w:num w:numId="41">
    <w:abstractNumId w:val="26"/>
  </w:num>
  <w:num w:numId="42">
    <w:abstractNumId w:val="32"/>
  </w:num>
  <w:num w:numId="43">
    <w:abstractNumId w:val="17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529EF"/>
    <w:rsid w:val="000B5439"/>
    <w:rsid w:val="001170BB"/>
    <w:rsid w:val="00187244"/>
    <w:rsid w:val="002D1798"/>
    <w:rsid w:val="00303565"/>
    <w:rsid w:val="003037E0"/>
    <w:rsid w:val="00320A50"/>
    <w:rsid w:val="00333B38"/>
    <w:rsid w:val="00375386"/>
    <w:rsid w:val="0038758D"/>
    <w:rsid w:val="003F4D18"/>
    <w:rsid w:val="004947A3"/>
    <w:rsid w:val="004F0A02"/>
    <w:rsid w:val="005100F7"/>
    <w:rsid w:val="00616EB9"/>
    <w:rsid w:val="00662707"/>
    <w:rsid w:val="006C73E3"/>
    <w:rsid w:val="006E5E37"/>
    <w:rsid w:val="006F759A"/>
    <w:rsid w:val="007529EF"/>
    <w:rsid w:val="00795B47"/>
    <w:rsid w:val="008A2A4B"/>
    <w:rsid w:val="009347E1"/>
    <w:rsid w:val="009555EA"/>
    <w:rsid w:val="009C27A2"/>
    <w:rsid w:val="009C3B09"/>
    <w:rsid w:val="00A404CE"/>
    <w:rsid w:val="00B976B5"/>
    <w:rsid w:val="00BD5941"/>
    <w:rsid w:val="00BD70F1"/>
    <w:rsid w:val="00BF0B77"/>
    <w:rsid w:val="00CC591D"/>
    <w:rsid w:val="00D4419D"/>
    <w:rsid w:val="00D942F4"/>
    <w:rsid w:val="00E55592"/>
    <w:rsid w:val="00E8442C"/>
    <w:rsid w:val="00EA29BA"/>
    <w:rsid w:val="00EC18DD"/>
    <w:rsid w:val="00F6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A2"/>
  </w:style>
  <w:style w:type="paragraph" w:styleId="1">
    <w:name w:val="heading 1"/>
    <w:basedOn w:val="a"/>
    <w:link w:val="10"/>
    <w:uiPriority w:val="9"/>
    <w:qFormat/>
    <w:rsid w:val="00D94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2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9EF"/>
    <w:rPr>
      <w:b/>
      <w:bCs/>
    </w:rPr>
  </w:style>
  <w:style w:type="character" w:styleId="a5">
    <w:name w:val="Hyperlink"/>
    <w:basedOn w:val="a0"/>
    <w:uiPriority w:val="99"/>
    <w:semiHidden/>
    <w:unhideWhenUsed/>
    <w:rsid w:val="007529EF"/>
    <w:rPr>
      <w:color w:val="0000FF"/>
      <w:u w:val="single"/>
    </w:rPr>
  </w:style>
  <w:style w:type="character" w:styleId="a6">
    <w:name w:val="Emphasis"/>
    <w:basedOn w:val="a0"/>
    <w:uiPriority w:val="20"/>
    <w:qFormat/>
    <w:rsid w:val="000B543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94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1346</Words>
  <Characters>7674</Characters>
  <Application>Microsoft Office Word</Application>
  <DocSecurity>0</DocSecurity>
  <Lines>63</Lines>
  <Paragraphs>18</Paragraphs>
  <ScaleCrop>false</ScaleCrop>
  <Company>SPecialiST RePack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2023-10-04T07:12:00Z</dcterms:created>
  <dcterms:modified xsi:type="dcterms:W3CDTF">2023-10-04T07:47:00Z</dcterms:modified>
</cp:coreProperties>
</file>